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204893</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9.3.2</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Overlapping Band Handling over F1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In last meeting, the issue of  overlapping band handling over F1 has been discussed in [1], and the possible solution has been provided. However, there was no agreement on this topic.</w:t>
      </w:r>
    </w:p>
    <w:p>
      <w:pPr>
        <w:jc w:val="both"/>
        <w:rPr>
          <w:rFonts w:hint="default"/>
          <w:lang w:val="en-US" w:eastAsia="zh-CN"/>
        </w:rPr>
      </w:pPr>
      <w:r>
        <w:rPr>
          <w:rFonts w:hint="eastAsia"/>
          <w:lang w:val="en-US" w:eastAsia="zh-CN"/>
        </w:rPr>
        <w:t>In this contribution, we will further discuss this topic and provide the solution.</w:t>
      </w:r>
    </w:p>
    <w:p>
      <w:pPr>
        <w:pStyle w:val="2"/>
      </w:pPr>
      <w:r>
        <w:rPr>
          <w:rFonts w:hint="eastAsia"/>
          <w:lang w:val="en-US" w:eastAsia="zh-CN"/>
        </w:rPr>
        <w:t>Discussion</w:t>
      </w:r>
    </w:p>
    <w:p>
      <w:pPr>
        <w:rPr>
          <w:rFonts w:hint="default" w:cstheme="minorHAnsi"/>
          <w:lang w:val="en-US" w:eastAsia="zh-CN"/>
        </w:rPr>
      </w:pPr>
      <w:bookmarkStart w:id="3" w:name="OLE_LINK5"/>
      <w:bookmarkStart w:id="4" w:name="OLE_LINK6"/>
      <w:bookmarkStart w:id="5" w:name="OLE_LINK3"/>
      <w:bookmarkStart w:id="6" w:name="OLE_LINK4"/>
      <w:r>
        <w:rPr>
          <w:rFonts w:hint="eastAsia" w:cstheme="minorHAnsi"/>
          <w:lang w:val="en-US" w:eastAsia="zh-CN"/>
        </w:rPr>
        <w:t>Considering the overlapping bands, the gNB-DU could select and assign the different frequency band for the UE than the band selected by the UE when the UE tries to access a cell. And the newly selected band may overlap the originally selected band.</w:t>
      </w:r>
    </w:p>
    <w:p>
      <w:pPr>
        <w:rPr>
          <w:rFonts w:hint="default" w:cstheme="minorHAnsi"/>
          <w:lang w:val="en-US" w:eastAsia="zh-CN"/>
        </w:rPr>
      </w:pPr>
      <w:r>
        <w:rPr>
          <w:rFonts w:hint="eastAsia" w:cstheme="minorHAnsi"/>
          <w:lang w:val="en-US" w:eastAsia="zh-CN"/>
        </w:rPr>
        <w:t xml:space="preserve">In carrier aggregation and dual connectivity scenarios, the UE may support different band combinations with overlapping bands, and the network shall select the band combination with highest throughput to provide the best performance for the UE. In this case, the gNB-DU shall transmit the newly selected band in form of band combination to the gNB-CU. It </w:t>
      </w:r>
      <w:r>
        <w:rPr>
          <w:rFonts w:cstheme="minorHAnsi"/>
          <w:lang w:val="en-GB"/>
        </w:rPr>
        <w:t>allow</w:t>
      </w:r>
      <w:r>
        <w:rPr>
          <w:rFonts w:hint="eastAsia" w:cstheme="minorHAnsi"/>
          <w:lang w:val="en-US" w:eastAsia="zh-CN"/>
        </w:rPr>
        <w:t>s</w:t>
      </w:r>
      <w:r>
        <w:rPr>
          <w:rFonts w:cstheme="minorHAnsi"/>
          <w:lang w:val="en-GB"/>
        </w:rPr>
        <w:t xml:space="preserve"> the gNB-CU to have a proper mapping of measurement objects and frequency bands to which the measurement object is associated.</w:t>
      </w:r>
      <w:r>
        <w:rPr>
          <w:rFonts w:hint="eastAsia" w:cstheme="minorHAnsi"/>
          <w:lang w:val="en-US" w:eastAsia="zh-CN"/>
        </w:rPr>
        <w:t xml:space="preserve"> In current F1AP specification, there is no related description of this issue, especially for the CA scenario.</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To solve this problem, one solution was provided in last meeting [2], i.e. a new IE was introduced in </w:t>
      </w:r>
      <w:r>
        <w:rPr>
          <w:rFonts w:hint="default" w:ascii="Times New Roman" w:hAnsi="Times New Roman" w:cs="Times New Roman"/>
          <w:i/>
          <w:iCs/>
          <w:lang w:val="en-US" w:eastAsia="zh-CN"/>
        </w:rPr>
        <w:t>DU to CU RRC Information</w:t>
      </w:r>
      <w:r>
        <w:rPr>
          <w:rFonts w:hint="default" w:ascii="Times New Roman" w:hAnsi="Times New Roman" w:cs="Times New Roman"/>
          <w:lang w:val="en-US" w:eastAsia="zh-CN"/>
        </w:rPr>
        <w:t xml:space="preserve"> over F1. However, in current TS 38.473, the IE with the same function has already exist, i.e. </w:t>
      </w:r>
      <w:r>
        <w:rPr>
          <w:rFonts w:hint="eastAsia" w:cs="Times New Roman"/>
          <w:lang w:val="en-US" w:eastAsia="zh-CN"/>
        </w:rPr>
        <w:t xml:space="preserve">the </w:t>
      </w:r>
      <w:r>
        <w:rPr>
          <w:rFonts w:hint="default" w:ascii="Times New Roman" w:hAnsi="Times New Roman" w:cs="Times New Roman"/>
          <w:i/>
          <w:iCs/>
          <w:lang w:val="en-US" w:eastAsia="zh-CN"/>
        </w:rPr>
        <w:t>Selected BandCombinationIndex</w:t>
      </w:r>
      <w:r>
        <w:rPr>
          <w:rFonts w:hint="eastAsia" w:cs="Times New Roman"/>
          <w:i/>
          <w:iCs/>
          <w:lang w:val="en-US" w:eastAsia="zh-CN"/>
        </w:rPr>
        <w:t xml:space="preserve"> </w:t>
      </w:r>
      <w:r>
        <w:rPr>
          <w:rFonts w:hint="eastAsia" w:cs="Times New Roman"/>
          <w:i w:val="0"/>
          <w:iCs w:val="0"/>
          <w:lang w:val="en-US" w:eastAsia="zh-CN"/>
        </w:rPr>
        <w:t>IE</w:t>
      </w:r>
      <w:r>
        <w:rPr>
          <w:rFonts w:hint="default" w:ascii="Times New Roman" w:hAnsi="Times New Roman" w:cs="Times New Roman"/>
          <w:lang w:val="en-US" w:eastAsia="zh-CN"/>
        </w:rPr>
        <w:t xml:space="preserve">. </w:t>
      </w:r>
    </w:p>
    <w:p>
      <w:pPr>
        <w:rPr>
          <w:rFonts w:hint="eastAsia"/>
          <w:b/>
          <w:bCs/>
          <w:highlight w:val="none"/>
          <w:u w:val="none"/>
          <w:lang w:val="en-US" w:eastAsia="zh-CN"/>
        </w:rPr>
      </w:pPr>
      <w:r>
        <w:rPr>
          <w:rFonts w:hint="eastAsia"/>
          <w:lang w:val="en-US" w:eastAsia="zh-CN"/>
        </w:rPr>
        <w:t>-----------------------------------------------------------TS 38.473------------------------------------------------------------------------</w:t>
      </w:r>
    </w:p>
    <w:p>
      <w:pPr>
        <w:pStyle w:val="5"/>
        <w:rPr>
          <w:sz w:val="20"/>
          <w:szCs w:val="16"/>
          <w:lang w:eastAsia="zh-CN"/>
        </w:rPr>
      </w:pPr>
      <w:bookmarkStart w:id="7" w:name="_Toc36556985"/>
      <w:bookmarkStart w:id="8" w:name="_Toc29893048"/>
      <w:bookmarkStart w:id="9" w:name="_Toc20955930"/>
      <w:bookmarkStart w:id="10" w:name="_Toc45832433"/>
      <w:r>
        <w:rPr>
          <w:sz w:val="20"/>
          <w:szCs w:val="16"/>
          <w:lang w:eastAsia="zh-CN"/>
        </w:rPr>
        <w:t>9.3.1.26</w:t>
      </w:r>
      <w:r>
        <w:rPr>
          <w:sz w:val="20"/>
          <w:szCs w:val="16"/>
          <w:lang w:eastAsia="zh-CN"/>
        </w:rPr>
        <w:tab/>
      </w:r>
      <w:r>
        <w:rPr>
          <w:sz w:val="20"/>
          <w:szCs w:val="16"/>
          <w:lang w:eastAsia="zh-CN"/>
        </w:rPr>
        <w:t>DU to CU RRC Information</w:t>
      </w:r>
      <w:bookmarkEnd w:id="7"/>
      <w:bookmarkEnd w:id="8"/>
      <w:bookmarkEnd w:id="9"/>
      <w:bookmarkEnd w:id="10"/>
    </w:p>
    <w:p>
      <w:pPr>
        <w:rPr>
          <w:sz w:val="16"/>
          <w:szCs w:val="16"/>
          <w:lang w:eastAsia="zh-CN"/>
        </w:rPr>
      </w:pPr>
      <w:r>
        <w:rPr>
          <w:sz w:val="16"/>
          <w:szCs w:val="16"/>
          <w:lang w:eastAsia="zh-CN"/>
        </w:rPr>
        <w:t>This IE contains the RRC Information that are sent from the gNB-DU to the gNB-CU.</w:t>
      </w:r>
    </w:p>
    <w:tbl>
      <w:tblPr>
        <w:tblStyle w:val="51"/>
        <w:tblW w:w="1043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992"/>
        <w:gridCol w:w="851"/>
        <w:gridCol w:w="1275"/>
        <w:gridCol w:w="2694"/>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IE/Group Name</w:t>
            </w:r>
          </w:p>
        </w:tc>
        <w:tc>
          <w:tcPr>
            <w:tcW w:w="992"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Presence</w:t>
            </w:r>
          </w:p>
        </w:tc>
        <w:tc>
          <w:tcPr>
            <w:tcW w:w="851"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Range</w:t>
            </w:r>
          </w:p>
        </w:tc>
        <w:tc>
          <w:tcPr>
            <w:tcW w:w="1275"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IE type and reference</w:t>
            </w:r>
          </w:p>
        </w:tc>
        <w:tc>
          <w:tcPr>
            <w:tcW w:w="2694"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Semantics description</w:t>
            </w:r>
          </w:p>
        </w:tc>
        <w:tc>
          <w:tcPr>
            <w:tcW w:w="1275"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Criticality</w:t>
            </w:r>
          </w:p>
        </w:tc>
        <w:tc>
          <w:tcPr>
            <w:tcW w:w="1134" w:type="dxa"/>
            <w:vAlign w:val="top"/>
          </w:tcPr>
          <w:p>
            <w:pPr>
              <w:keepNext/>
              <w:keepLines/>
              <w:spacing w:after="0"/>
              <w:jc w:val="center"/>
              <w:rPr>
                <w:rFonts w:ascii="Arial" w:hAnsi="Arial" w:cs="Arial"/>
                <w:b/>
                <w:bCs/>
                <w:sz w:val="16"/>
                <w:szCs w:val="16"/>
                <w:lang w:eastAsia="ja-JP"/>
              </w:rPr>
            </w:pPr>
            <w:r>
              <w:rPr>
                <w:rFonts w:ascii="Arial" w:hAnsi="Arial" w:cs="Arial"/>
                <w:b/>
                <w:bCs/>
                <w:sz w:val="16"/>
                <w:szCs w:val="16"/>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63"/>
              <w:rPr>
                <w:rFonts w:cs="Arial"/>
                <w:sz w:val="16"/>
                <w:szCs w:val="16"/>
                <w:lang w:eastAsia="ja-JP"/>
              </w:rPr>
            </w:pPr>
            <w:r>
              <w:rPr>
                <w:sz w:val="16"/>
                <w:szCs w:val="16"/>
                <w:lang w:eastAsia="zh-CN"/>
              </w:rPr>
              <w:t>CellGroupConfig</w:t>
            </w:r>
          </w:p>
        </w:tc>
        <w:tc>
          <w:tcPr>
            <w:tcW w:w="992" w:type="dxa"/>
            <w:vAlign w:val="top"/>
          </w:tcPr>
          <w:p>
            <w:pPr>
              <w:pStyle w:val="63"/>
              <w:rPr>
                <w:rFonts w:cs="Arial"/>
                <w:sz w:val="16"/>
                <w:szCs w:val="16"/>
                <w:lang w:eastAsia="ja-JP"/>
              </w:rPr>
            </w:pPr>
            <w:r>
              <w:rPr>
                <w:sz w:val="16"/>
                <w:szCs w:val="16"/>
                <w:lang w:eastAsia="zh-CN"/>
              </w:rPr>
              <w:t>M</w:t>
            </w:r>
          </w:p>
        </w:tc>
        <w:tc>
          <w:tcPr>
            <w:tcW w:w="851" w:type="dxa"/>
            <w:vAlign w:val="top"/>
          </w:tcPr>
          <w:p>
            <w:pPr>
              <w:pStyle w:val="63"/>
              <w:rPr>
                <w:rFonts w:cs="Arial"/>
                <w:sz w:val="16"/>
                <w:szCs w:val="16"/>
                <w:lang w:eastAsia="ja-JP"/>
              </w:rPr>
            </w:pPr>
          </w:p>
        </w:tc>
        <w:tc>
          <w:tcPr>
            <w:tcW w:w="1275" w:type="dxa"/>
            <w:vAlign w:val="top"/>
          </w:tcPr>
          <w:p>
            <w:pPr>
              <w:pStyle w:val="75"/>
              <w:rPr>
                <w:sz w:val="16"/>
                <w:szCs w:val="16"/>
                <w:lang w:eastAsia="ja-JP"/>
              </w:rPr>
            </w:pPr>
            <w:r>
              <w:rPr>
                <w:rFonts w:eastAsia="Yu Mincho"/>
                <w:sz w:val="16"/>
                <w:szCs w:val="16"/>
                <w:lang w:eastAsia="ja-JP"/>
              </w:rPr>
              <w:t>OCTET STRING</w:t>
            </w:r>
          </w:p>
        </w:tc>
        <w:tc>
          <w:tcPr>
            <w:tcW w:w="2694" w:type="dxa"/>
            <w:vAlign w:val="top"/>
          </w:tcPr>
          <w:p>
            <w:pPr>
              <w:pStyle w:val="63"/>
              <w:rPr>
                <w:rFonts w:eastAsia="Malgun Gothic"/>
                <w:sz w:val="16"/>
                <w:szCs w:val="16"/>
              </w:rPr>
            </w:pPr>
            <w:r>
              <w:rPr>
                <w:rFonts w:eastAsia="Malgun Gothic"/>
                <w:sz w:val="16"/>
                <w:szCs w:val="16"/>
              </w:rPr>
              <w:t>CellGroupConfig, as defined in TS 38.331 [8].</w:t>
            </w:r>
          </w:p>
        </w:tc>
        <w:tc>
          <w:tcPr>
            <w:tcW w:w="1275" w:type="dxa"/>
            <w:vAlign w:val="top"/>
          </w:tcPr>
          <w:p>
            <w:pPr>
              <w:pStyle w:val="75"/>
              <w:rPr>
                <w:rFonts w:eastAsia="Malgun Gothic"/>
                <w:sz w:val="16"/>
                <w:szCs w:val="16"/>
              </w:rPr>
            </w:pPr>
          </w:p>
        </w:tc>
        <w:tc>
          <w:tcPr>
            <w:tcW w:w="1134" w:type="dxa"/>
            <w:vAlign w:val="top"/>
          </w:tcPr>
          <w:p>
            <w:pPr>
              <w:pStyle w:val="75"/>
              <w:rPr>
                <w:rFonts w:eastAsia="Malgun Gothic"/>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63"/>
              <w:rPr>
                <w:sz w:val="16"/>
                <w:szCs w:val="16"/>
                <w:lang w:eastAsia="zh-CN"/>
              </w:rPr>
            </w:pPr>
            <w:r>
              <w:rPr>
                <w:sz w:val="16"/>
                <w:szCs w:val="16"/>
                <w:lang w:eastAsia="zh-CN"/>
              </w:rPr>
              <w:t>MeasGapConfig</w:t>
            </w:r>
          </w:p>
        </w:tc>
        <w:tc>
          <w:tcPr>
            <w:tcW w:w="992" w:type="dxa"/>
            <w:vAlign w:val="top"/>
          </w:tcPr>
          <w:p>
            <w:pPr>
              <w:pStyle w:val="63"/>
              <w:rPr>
                <w:sz w:val="16"/>
                <w:szCs w:val="16"/>
                <w:lang w:eastAsia="zh-CN"/>
              </w:rPr>
            </w:pPr>
            <w:r>
              <w:rPr>
                <w:sz w:val="16"/>
                <w:szCs w:val="16"/>
                <w:lang w:eastAsia="zh-CN"/>
              </w:rPr>
              <w:t>O</w:t>
            </w:r>
          </w:p>
        </w:tc>
        <w:tc>
          <w:tcPr>
            <w:tcW w:w="851" w:type="dxa"/>
            <w:vAlign w:val="top"/>
          </w:tcPr>
          <w:p>
            <w:pPr>
              <w:pStyle w:val="63"/>
              <w:rPr>
                <w:rFonts w:cs="Arial"/>
                <w:sz w:val="16"/>
                <w:szCs w:val="16"/>
                <w:lang w:eastAsia="ja-JP"/>
              </w:rPr>
            </w:pPr>
          </w:p>
        </w:tc>
        <w:tc>
          <w:tcPr>
            <w:tcW w:w="1275" w:type="dxa"/>
            <w:vAlign w:val="top"/>
          </w:tcPr>
          <w:p>
            <w:pPr>
              <w:pStyle w:val="75"/>
              <w:rPr>
                <w:rFonts w:eastAsia="Yu Mincho"/>
                <w:sz w:val="16"/>
                <w:szCs w:val="16"/>
                <w:lang w:eastAsia="ja-JP"/>
              </w:rPr>
            </w:pPr>
            <w:r>
              <w:rPr>
                <w:rFonts w:eastAsia="Yu Mincho"/>
                <w:sz w:val="16"/>
                <w:szCs w:val="16"/>
                <w:lang w:eastAsia="ja-JP"/>
              </w:rPr>
              <w:t>OCTET STRING</w:t>
            </w:r>
          </w:p>
        </w:tc>
        <w:tc>
          <w:tcPr>
            <w:tcW w:w="2694" w:type="dxa"/>
            <w:vAlign w:val="top"/>
          </w:tcPr>
          <w:p>
            <w:pPr>
              <w:pStyle w:val="63"/>
              <w:rPr>
                <w:rFonts w:eastAsia="Malgun Gothic"/>
                <w:sz w:val="16"/>
                <w:szCs w:val="16"/>
              </w:rPr>
            </w:pPr>
            <w:r>
              <w:rPr>
                <w:rFonts w:eastAsia="Malgun Gothic"/>
                <w:sz w:val="16"/>
                <w:szCs w:val="16"/>
              </w:rPr>
              <w:t>MeasGapConfig as defined in TS 38.331 [8].</w:t>
            </w:r>
          </w:p>
          <w:p>
            <w:pPr>
              <w:pStyle w:val="63"/>
              <w:rPr>
                <w:rFonts w:eastAsia="Malgun Gothic"/>
                <w:sz w:val="16"/>
                <w:szCs w:val="16"/>
              </w:rPr>
            </w:pPr>
            <w:r>
              <w:rPr>
                <w:rFonts w:eastAsia="Malgun Gothic"/>
                <w:sz w:val="16"/>
                <w:szCs w:val="16"/>
              </w:rPr>
              <w:t>For EN-DC</w:t>
            </w:r>
            <w:r>
              <w:rPr>
                <w:sz w:val="16"/>
                <w:szCs w:val="16"/>
                <w:lang w:eastAsia="zh-CN"/>
              </w:rPr>
              <w:t>/NGEN-DC</w:t>
            </w:r>
            <w:r>
              <w:rPr>
                <w:rFonts w:eastAsia="Malgun Gothic"/>
                <w:sz w:val="16"/>
                <w:szCs w:val="16"/>
              </w:rPr>
              <w:t xml:space="preserve"> operation, includes the gap for FR2, as requested by the gNB-CU via MeasConfig IE. </w:t>
            </w:r>
          </w:p>
          <w:p>
            <w:pPr>
              <w:pStyle w:val="63"/>
              <w:rPr>
                <w:rFonts w:eastAsia="Malgun Gothic"/>
                <w:sz w:val="16"/>
                <w:szCs w:val="16"/>
              </w:rPr>
            </w:pPr>
          </w:p>
          <w:p>
            <w:pPr>
              <w:pStyle w:val="63"/>
              <w:rPr>
                <w:rFonts w:eastAsia="Malgun Gothic"/>
                <w:sz w:val="16"/>
                <w:szCs w:val="16"/>
              </w:rPr>
            </w:pPr>
            <w:r>
              <w:rPr>
                <w:rFonts w:eastAsia="Malgun Gothic"/>
                <w:sz w:val="16"/>
                <w:szCs w:val="16"/>
              </w:rPr>
              <w:t xml:space="preserve">For </w:t>
            </w:r>
            <w:r>
              <w:rPr>
                <w:sz w:val="16"/>
                <w:szCs w:val="16"/>
                <w:lang w:eastAsia="zh-CN"/>
              </w:rPr>
              <w:t>NG-RAN,NE-DC and MN for NR-NR DC</w:t>
            </w:r>
            <w:r>
              <w:rPr>
                <w:rFonts w:eastAsia="Malgun Gothic"/>
                <w:sz w:val="16"/>
                <w:szCs w:val="16"/>
              </w:rPr>
              <w:t>, includes the gap(s) for FR1 and/or FR2, as requested by the gNB-CU via MeasConfig IE and according to the requested gap type (per-UE or per-FR).</w:t>
            </w:r>
          </w:p>
        </w:tc>
        <w:tc>
          <w:tcPr>
            <w:tcW w:w="1275" w:type="dxa"/>
            <w:vAlign w:val="top"/>
          </w:tcPr>
          <w:p>
            <w:pPr>
              <w:pStyle w:val="75"/>
              <w:rPr>
                <w:rFonts w:eastAsia="Malgun Gothic"/>
                <w:sz w:val="16"/>
                <w:szCs w:val="16"/>
              </w:rPr>
            </w:pPr>
          </w:p>
        </w:tc>
        <w:tc>
          <w:tcPr>
            <w:tcW w:w="1134" w:type="dxa"/>
            <w:vAlign w:val="top"/>
          </w:tcPr>
          <w:p>
            <w:pPr>
              <w:pStyle w:val="75"/>
              <w:rPr>
                <w:rFonts w:eastAsia="Malgun Gothic"/>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63"/>
              <w:rPr>
                <w:sz w:val="16"/>
                <w:szCs w:val="16"/>
                <w:lang w:eastAsia="zh-CN"/>
              </w:rPr>
            </w:pPr>
            <w:r>
              <w:rPr>
                <w:sz w:val="16"/>
                <w:szCs w:val="16"/>
                <w:lang w:eastAsia="zh-CN"/>
              </w:rPr>
              <w:t>Requested P-MaxFR1</w:t>
            </w:r>
          </w:p>
        </w:tc>
        <w:tc>
          <w:tcPr>
            <w:tcW w:w="992" w:type="dxa"/>
            <w:vAlign w:val="top"/>
          </w:tcPr>
          <w:p>
            <w:pPr>
              <w:pStyle w:val="63"/>
              <w:rPr>
                <w:sz w:val="16"/>
                <w:szCs w:val="16"/>
                <w:lang w:eastAsia="zh-CN"/>
              </w:rPr>
            </w:pPr>
            <w:r>
              <w:rPr>
                <w:sz w:val="16"/>
                <w:szCs w:val="16"/>
                <w:lang w:eastAsia="zh-CN"/>
              </w:rPr>
              <w:t>O</w:t>
            </w:r>
          </w:p>
        </w:tc>
        <w:tc>
          <w:tcPr>
            <w:tcW w:w="851" w:type="dxa"/>
            <w:vAlign w:val="top"/>
          </w:tcPr>
          <w:p>
            <w:pPr>
              <w:pStyle w:val="63"/>
              <w:rPr>
                <w:rFonts w:cs="Arial"/>
                <w:sz w:val="16"/>
                <w:szCs w:val="16"/>
                <w:lang w:eastAsia="ja-JP"/>
              </w:rPr>
            </w:pPr>
          </w:p>
        </w:tc>
        <w:tc>
          <w:tcPr>
            <w:tcW w:w="1275" w:type="dxa"/>
            <w:vAlign w:val="top"/>
          </w:tcPr>
          <w:p>
            <w:pPr>
              <w:pStyle w:val="75"/>
              <w:rPr>
                <w:rFonts w:eastAsia="Yu Mincho"/>
                <w:sz w:val="16"/>
                <w:szCs w:val="16"/>
                <w:lang w:eastAsia="ja-JP"/>
              </w:rPr>
            </w:pPr>
            <w:r>
              <w:rPr>
                <w:rFonts w:eastAsia="Yu Mincho"/>
                <w:sz w:val="16"/>
                <w:szCs w:val="16"/>
                <w:lang w:eastAsia="ja-JP"/>
              </w:rPr>
              <w:t>OCTET STRING</w:t>
            </w:r>
          </w:p>
        </w:tc>
        <w:tc>
          <w:tcPr>
            <w:tcW w:w="2694" w:type="dxa"/>
            <w:vAlign w:val="top"/>
          </w:tcPr>
          <w:p>
            <w:pPr>
              <w:pStyle w:val="63"/>
              <w:rPr>
                <w:rFonts w:eastAsia="Malgun Gothic"/>
                <w:sz w:val="16"/>
                <w:szCs w:val="16"/>
              </w:rPr>
            </w:pPr>
            <w:r>
              <w:rPr>
                <w:rFonts w:eastAsia="Malgun Gothic"/>
                <w:sz w:val="16"/>
                <w:szCs w:val="16"/>
              </w:rPr>
              <w:t xml:space="preserve">requestedP-MaxFR1, as defined in TS 38.331 [8]. </w:t>
            </w:r>
          </w:p>
          <w:p>
            <w:pPr>
              <w:pStyle w:val="63"/>
              <w:rPr>
                <w:rFonts w:eastAsia="Malgun Gothic"/>
                <w:sz w:val="16"/>
                <w:szCs w:val="16"/>
              </w:rPr>
            </w:pPr>
            <w:r>
              <w:rPr>
                <w:rFonts w:eastAsia="Malgun Gothic"/>
                <w:sz w:val="16"/>
                <w:szCs w:val="16"/>
              </w:rPr>
              <w:t>For EN-DC,  NGEN-DC and NR-DC operation, this IE should be included.</w:t>
            </w:r>
          </w:p>
        </w:tc>
        <w:tc>
          <w:tcPr>
            <w:tcW w:w="1275" w:type="dxa"/>
            <w:vAlign w:val="top"/>
          </w:tcPr>
          <w:p>
            <w:pPr>
              <w:pStyle w:val="75"/>
              <w:rPr>
                <w:rFonts w:eastAsia="Malgun Gothic"/>
                <w:sz w:val="16"/>
                <w:szCs w:val="16"/>
              </w:rPr>
            </w:pPr>
          </w:p>
        </w:tc>
        <w:tc>
          <w:tcPr>
            <w:tcW w:w="1134" w:type="dxa"/>
            <w:vAlign w:val="top"/>
          </w:tcPr>
          <w:p>
            <w:pPr>
              <w:pStyle w:val="75"/>
              <w:rPr>
                <w:rFonts w:eastAsia="Malgun Gothic"/>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63"/>
              <w:rPr>
                <w:sz w:val="16"/>
                <w:szCs w:val="16"/>
                <w:lang w:eastAsia="zh-CN"/>
              </w:rPr>
            </w:pPr>
            <w:r>
              <w:rPr>
                <w:sz w:val="16"/>
                <w:szCs w:val="16"/>
                <w:lang w:eastAsia="zh-CN"/>
              </w:rPr>
              <w:t>DRX Long Cycle Start Offset</w:t>
            </w:r>
          </w:p>
        </w:tc>
        <w:tc>
          <w:tcPr>
            <w:tcW w:w="992" w:type="dxa"/>
            <w:vAlign w:val="top"/>
          </w:tcPr>
          <w:p>
            <w:pPr>
              <w:pStyle w:val="63"/>
              <w:rPr>
                <w:sz w:val="16"/>
                <w:szCs w:val="16"/>
                <w:lang w:eastAsia="zh-CN"/>
              </w:rPr>
            </w:pPr>
            <w:r>
              <w:rPr>
                <w:sz w:val="16"/>
                <w:szCs w:val="16"/>
                <w:lang w:eastAsia="zh-CN"/>
              </w:rPr>
              <w:t>O</w:t>
            </w:r>
          </w:p>
        </w:tc>
        <w:tc>
          <w:tcPr>
            <w:tcW w:w="851" w:type="dxa"/>
            <w:vAlign w:val="top"/>
          </w:tcPr>
          <w:p>
            <w:pPr>
              <w:pStyle w:val="63"/>
              <w:rPr>
                <w:rFonts w:cs="Arial"/>
                <w:sz w:val="16"/>
                <w:szCs w:val="16"/>
                <w:lang w:eastAsia="ja-JP"/>
              </w:rPr>
            </w:pPr>
          </w:p>
        </w:tc>
        <w:tc>
          <w:tcPr>
            <w:tcW w:w="1275" w:type="dxa"/>
            <w:vAlign w:val="top"/>
          </w:tcPr>
          <w:p>
            <w:pPr>
              <w:pStyle w:val="75"/>
              <w:rPr>
                <w:rFonts w:eastAsia="Yu Mincho"/>
                <w:sz w:val="16"/>
                <w:szCs w:val="16"/>
                <w:lang w:eastAsia="ja-JP"/>
              </w:rPr>
            </w:pPr>
            <w:r>
              <w:rPr>
                <w:rFonts w:eastAsia="Yu Mincho"/>
                <w:sz w:val="16"/>
                <w:szCs w:val="16"/>
                <w:lang w:eastAsia="ja-JP"/>
              </w:rPr>
              <w:t>INTEGER</w:t>
            </w:r>
            <w:r>
              <w:rPr>
                <w:sz w:val="16"/>
                <w:szCs w:val="16"/>
                <w:lang w:eastAsia="zh-CN"/>
              </w:rPr>
              <w:t xml:space="preserve"> </w:t>
            </w:r>
            <w:r>
              <w:rPr>
                <w:rFonts w:eastAsia="Yu Mincho"/>
                <w:sz w:val="16"/>
                <w:szCs w:val="16"/>
                <w:lang w:eastAsia="ja-JP"/>
              </w:rPr>
              <w:t>(0..10239)</w:t>
            </w:r>
          </w:p>
        </w:tc>
        <w:tc>
          <w:tcPr>
            <w:tcW w:w="2694" w:type="dxa"/>
            <w:vAlign w:val="top"/>
          </w:tcPr>
          <w:p>
            <w:pPr>
              <w:pStyle w:val="63"/>
              <w:rPr>
                <w:sz w:val="16"/>
                <w:szCs w:val="16"/>
                <w:lang w:val="en-US" w:eastAsia="zh-CN"/>
              </w:rPr>
            </w:pPr>
            <w:r>
              <w:rPr>
                <w:sz w:val="16"/>
                <w:szCs w:val="16"/>
                <w:lang w:eastAsia="zh-CN"/>
              </w:rPr>
              <w:t>Identical to the value of the drx-LongCycleStartOffset IE within the DRX-Config as defined in TS 38.331 [8].</w:t>
            </w:r>
          </w:p>
          <w:p>
            <w:pPr>
              <w:pStyle w:val="63"/>
              <w:rPr>
                <w:sz w:val="16"/>
                <w:szCs w:val="16"/>
                <w:lang w:eastAsia="zh-CN"/>
              </w:rPr>
            </w:pPr>
            <w:r>
              <w:rPr>
                <w:sz w:val="16"/>
                <w:szCs w:val="16"/>
                <w:lang w:val="en-US" w:eastAsia="zh-CN"/>
              </w:rPr>
              <w:t>This field is not used in NR-DC.</w:t>
            </w:r>
          </w:p>
        </w:tc>
        <w:tc>
          <w:tcPr>
            <w:tcW w:w="1275" w:type="dxa"/>
            <w:vAlign w:val="top"/>
          </w:tcPr>
          <w:p>
            <w:pPr>
              <w:pStyle w:val="75"/>
              <w:rPr>
                <w:sz w:val="16"/>
                <w:szCs w:val="16"/>
                <w:lang w:eastAsia="zh-CN"/>
              </w:rPr>
            </w:pPr>
          </w:p>
        </w:tc>
        <w:tc>
          <w:tcPr>
            <w:tcW w:w="1134" w:type="dxa"/>
            <w:vAlign w:val="top"/>
          </w:tcPr>
          <w:p>
            <w:pPr>
              <w:pStyle w:val="75"/>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63"/>
              <w:rPr>
                <w:sz w:val="16"/>
                <w:szCs w:val="16"/>
                <w:highlight w:val="yellow"/>
                <w:lang w:eastAsia="zh-CN"/>
              </w:rPr>
            </w:pPr>
            <w:r>
              <w:rPr>
                <w:sz w:val="16"/>
                <w:szCs w:val="16"/>
                <w:highlight w:val="yellow"/>
                <w:lang w:eastAsia="zh-CN"/>
              </w:rPr>
              <w:t>Selected BandCombinationIndex</w:t>
            </w:r>
          </w:p>
        </w:tc>
        <w:tc>
          <w:tcPr>
            <w:tcW w:w="992" w:type="dxa"/>
            <w:vAlign w:val="top"/>
          </w:tcPr>
          <w:p>
            <w:pPr>
              <w:pStyle w:val="63"/>
              <w:rPr>
                <w:sz w:val="16"/>
                <w:szCs w:val="16"/>
                <w:highlight w:val="yellow"/>
                <w:lang w:eastAsia="zh-CN"/>
              </w:rPr>
            </w:pPr>
            <w:r>
              <w:rPr>
                <w:sz w:val="16"/>
                <w:szCs w:val="16"/>
                <w:highlight w:val="yellow"/>
                <w:lang w:eastAsia="zh-CN"/>
              </w:rPr>
              <w:t>O</w:t>
            </w:r>
          </w:p>
        </w:tc>
        <w:tc>
          <w:tcPr>
            <w:tcW w:w="851" w:type="dxa"/>
            <w:vAlign w:val="top"/>
          </w:tcPr>
          <w:p>
            <w:pPr>
              <w:pStyle w:val="63"/>
              <w:rPr>
                <w:rFonts w:cs="Arial"/>
                <w:sz w:val="16"/>
                <w:szCs w:val="16"/>
                <w:highlight w:val="yellow"/>
                <w:lang w:eastAsia="ja-JP"/>
              </w:rPr>
            </w:pPr>
          </w:p>
        </w:tc>
        <w:tc>
          <w:tcPr>
            <w:tcW w:w="1275" w:type="dxa"/>
            <w:vAlign w:val="top"/>
          </w:tcPr>
          <w:p>
            <w:pPr>
              <w:pStyle w:val="75"/>
              <w:rPr>
                <w:rFonts w:eastAsia="Yu Mincho"/>
                <w:sz w:val="16"/>
                <w:szCs w:val="16"/>
                <w:highlight w:val="yellow"/>
                <w:lang w:eastAsia="ja-JP"/>
              </w:rPr>
            </w:pPr>
            <w:r>
              <w:rPr>
                <w:rFonts w:eastAsia="Yu Mincho"/>
                <w:sz w:val="16"/>
                <w:szCs w:val="16"/>
                <w:highlight w:val="yellow"/>
                <w:lang w:eastAsia="ja-JP"/>
              </w:rPr>
              <w:t>OCTET STRING</w:t>
            </w:r>
          </w:p>
        </w:tc>
        <w:tc>
          <w:tcPr>
            <w:tcW w:w="2694" w:type="dxa"/>
            <w:vAlign w:val="top"/>
          </w:tcPr>
          <w:p>
            <w:pPr>
              <w:pStyle w:val="63"/>
              <w:rPr>
                <w:rFonts w:eastAsia="Malgun Gothic"/>
                <w:sz w:val="16"/>
                <w:szCs w:val="16"/>
                <w:highlight w:val="yellow"/>
              </w:rPr>
            </w:pPr>
            <w:r>
              <w:rPr>
                <w:rFonts w:eastAsia="Malgun Gothic"/>
                <w:sz w:val="16"/>
                <w:szCs w:val="16"/>
                <w:highlight w:val="yellow"/>
              </w:rPr>
              <w:t xml:space="preserve">BandCombinationIndex, as defined in TS 38.331 [8]. </w:t>
            </w:r>
          </w:p>
          <w:p>
            <w:pPr>
              <w:pStyle w:val="63"/>
              <w:rPr>
                <w:sz w:val="16"/>
                <w:szCs w:val="16"/>
                <w:highlight w:val="yellow"/>
                <w:lang w:eastAsia="zh-CN"/>
              </w:rPr>
            </w:pPr>
            <w:r>
              <w:rPr>
                <w:rFonts w:eastAsia="Malgun Gothic"/>
                <w:sz w:val="16"/>
                <w:szCs w:val="16"/>
                <w:highlight w:val="yellow"/>
              </w:rPr>
              <w:t>For (NG)EN-DC and NR DC operation, this IE should be included so that gNB-CU is informed of the selected Band Combination.</w:t>
            </w:r>
          </w:p>
        </w:tc>
        <w:tc>
          <w:tcPr>
            <w:tcW w:w="1275" w:type="dxa"/>
            <w:vAlign w:val="top"/>
          </w:tcPr>
          <w:p>
            <w:pPr>
              <w:pStyle w:val="75"/>
              <w:rPr>
                <w:sz w:val="16"/>
                <w:szCs w:val="16"/>
                <w:highlight w:val="yellow"/>
                <w:lang w:eastAsia="zh-CN"/>
              </w:rPr>
            </w:pPr>
            <w:r>
              <w:rPr>
                <w:rFonts w:eastAsia="Malgun Gothic"/>
                <w:sz w:val="16"/>
                <w:szCs w:val="16"/>
                <w:highlight w:val="yellow"/>
              </w:rPr>
              <w:t>YES</w:t>
            </w:r>
          </w:p>
        </w:tc>
        <w:tc>
          <w:tcPr>
            <w:tcW w:w="1134" w:type="dxa"/>
            <w:vAlign w:val="top"/>
          </w:tcPr>
          <w:p>
            <w:pPr>
              <w:pStyle w:val="75"/>
              <w:rPr>
                <w:sz w:val="16"/>
                <w:szCs w:val="16"/>
                <w:highlight w:val="yellow"/>
                <w:lang w:eastAsia="zh-CN"/>
              </w:rPr>
            </w:pPr>
            <w:r>
              <w:rPr>
                <w:rFonts w:eastAsia="Malgun Gothic"/>
                <w:sz w:val="16"/>
                <w:szCs w:val="16"/>
                <w:highlight w:val="yellow"/>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63"/>
              <w:rPr>
                <w:sz w:val="16"/>
                <w:szCs w:val="16"/>
                <w:lang w:eastAsia="zh-CN"/>
              </w:rPr>
            </w:pPr>
            <w:r>
              <w:rPr>
                <w:sz w:val="16"/>
                <w:szCs w:val="16"/>
                <w:lang w:eastAsia="zh-CN"/>
              </w:rPr>
              <w:t>Selected</w:t>
            </w:r>
            <w:r>
              <w:rPr>
                <w:rFonts w:hint="eastAsia"/>
                <w:sz w:val="16"/>
                <w:szCs w:val="16"/>
                <w:lang w:val="en-US" w:eastAsia="zh-CN"/>
              </w:rPr>
              <w:t xml:space="preserve"> </w:t>
            </w:r>
            <w:r>
              <w:rPr>
                <w:sz w:val="16"/>
                <w:szCs w:val="16"/>
                <w:lang w:eastAsia="zh-CN"/>
              </w:rPr>
              <w:t>FeatureSetEntryIndex</w:t>
            </w:r>
          </w:p>
        </w:tc>
        <w:tc>
          <w:tcPr>
            <w:tcW w:w="992" w:type="dxa"/>
            <w:vAlign w:val="top"/>
          </w:tcPr>
          <w:p>
            <w:pPr>
              <w:pStyle w:val="63"/>
              <w:rPr>
                <w:sz w:val="16"/>
                <w:szCs w:val="16"/>
                <w:lang w:eastAsia="zh-CN"/>
              </w:rPr>
            </w:pPr>
            <w:r>
              <w:rPr>
                <w:sz w:val="16"/>
                <w:szCs w:val="16"/>
                <w:lang w:eastAsia="zh-CN"/>
              </w:rPr>
              <w:t>O</w:t>
            </w:r>
          </w:p>
        </w:tc>
        <w:tc>
          <w:tcPr>
            <w:tcW w:w="851" w:type="dxa"/>
            <w:vAlign w:val="top"/>
          </w:tcPr>
          <w:p>
            <w:pPr>
              <w:pStyle w:val="63"/>
              <w:rPr>
                <w:rFonts w:cs="Arial"/>
                <w:sz w:val="16"/>
                <w:szCs w:val="16"/>
                <w:lang w:eastAsia="ja-JP"/>
              </w:rPr>
            </w:pPr>
          </w:p>
        </w:tc>
        <w:tc>
          <w:tcPr>
            <w:tcW w:w="1275" w:type="dxa"/>
            <w:vAlign w:val="top"/>
          </w:tcPr>
          <w:p>
            <w:pPr>
              <w:pStyle w:val="75"/>
              <w:rPr>
                <w:rFonts w:eastAsia="Yu Mincho"/>
                <w:sz w:val="16"/>
                <w:szCs w:val="16"/>
                <w:lang w:eastAsia="ja-JP"/>
              </w:rPr>
            </w:pPr>
            <w:r>
              <w:rPr>
                <w:rFonts w:eastAsia="Yu Mincho"/>
                <w:sz w:val="16"/>
                <w:szCs w:val="16"/>
                <w:lang w:eastAsia="ja-JP"/>
              </w:rPr>
              <w:t>OCTET STRING</w:t>
            </w:r>
          </w:p>
        </w:tc>
        <w:tc>
          <w:tcPr>
            <w:tcW w:w="2694" w:type="dxa"/>
            <w:vAlign w:val="top"/>
          </w:tcPr>
          <w:p>
            <w:pPr>
              <w:pStyle w:val="63"/>
              <w:rPr>
                <w:rFonts w:eastAsia="Malgun Gothic"/>
                <w:sz w:val="16"/>
                <w:szCs w:val="16"/>
              </w:rPr>
            </w:pPr>
            <w:r>
              <w:rPr>
                <w:rFonts w:eastAsia="Malgun Gothic"/>
                <w:sz w:val="16"/>
                <w:szCs w:val="16"/>
              </w:rPr>
              <w:t xml:space="preserve">FeatureSetEntryIndex, as defined in TS 38.331 [8]. </w:t>
            </w:r>
          </w:p>
          <w:p>
            <w:pPr>
              <w:pStyle w:val="63"/>
              <w:rPr>
                <w:sz w:val="16"/>
                <w:szCs w:val="16"/>
                <w:lang w:eastAsia="zh-CN"/>
              </w:rPr>
            </w:pPr>
            <w:r>
              <w:rPr>
                <w:rFonts w:eastAsia="Malgun Gothic"/>
                <w:sz w:val="16"/>
                <w:szCs w:val="16"/>
              </w:rPr>
              <w:t>For (NG)EN-DC and NR DC operation, this IE should be included so that gNB-CU is informed of the selected FeatureSet.</w:t>
            </w:r>
          </w:p>
        </w:tc>
        <w:tc>
          <w:tcPr>
            <w:tcW w:w="1275" w:type="dxa"/>
            <w:vAlign w:val="top"/>
          </w:tcPr>
          <w:p>
            <w:pPr>
              <w:pStyle w:val="75"/>
              <w:rPr>
                <w:sz w:val="16"/>
                <w:szCs w:val="16"/>
                <w:lang w:eastAsia="zh-CN"/>
              </w:rPr>
            </w:pPr>
            <w:r>
              <w:rPr>
                <w:rFonts w:eastAsia="Malgun Gothic"/>
                <w:sz w:val="16"/>
                <w:szCs w:val="16"/>
              </w:rPr>
              <w:t>YES</w:t>
            </w:r>
          </w:p>
        </w:tc>
        <w:tc>
          <w:tcPr>
            <w:tcW w:w="1134" w:type="dxa"/>
            <w:vAlign w:val="top"/>
          </w:tcPr>
          <w:p>
            <w:pPr>
              <w:pStyle w:val="75"/>
              <w:rPr>
                <w:sz w:val="16"/>
                <w:szCs w:val="16"/>
                <w:lang w:eastAsia="zh-CN"/>
              </w:rPr>
            </w:pPr>
            <w:r>
              <w:rPr>
                <w:rFonts w:eastAsia="Malgun Gothic"/>
                <w:sz w:val="16"/>
                <w:szCs w:val="16"/>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63"/>
              <w:rPr>
                <w:sz w:val="16"/>
                <w:szCs w:val="16"/>
                <w:lang w:eastAsia="zh-CN"/>
              </w:rPr>
            </w:pPr>
            <w:r>
              <w:rPr>
                <w:sz w:val="16"/>
                <w:szCs w:val="16"/>
                <w:lang w:eastAsia="zh-CN"/>
              </w:rPr>
              <w:t>Ph-InfoMCG</w:t>
            </w:r>
          </w:p>
        </w:tc>
        <w:tc>
          <w:tcPr>
            <w:tcW w:w="992" w:type="dxa"/>
            <w:tcBorders>
              <w:top w:val="single" w:color="auto" w:sz="4" w:space="0"/>
              <w:left w:val="single" w:color="auto" w:sz="4" w:space="0"/>
              <w:bottom w:val="single" w:color="auto" w:sz="4" w:space="0"/>
              <w:right w:val="single" w:color="auto" w:sz="4" w:space="0"/>
            </w:tcBorders>
            <w:vAlign w:val="top"/>
          </w:tcPr>
          <w:p>
            <w:pPr>
              <w:pStyle w:val="63"/>
              <w:rPr>
                <w:sz w:val="16"/>
                <w:szCs w:val="16"/>
                <w:lang w:eastAsia="zh-CN"/>
              </w:rPr>
            </w:pPr>
            <w:r>
              <w:rPr>
                <w:sz w:val="16"/>
                <w:szCs w:val="16"/>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63"/>
              <w:rPr>
                <w:rFonts w:cs="Arial"/>
                <w:sz w:val="16"/>
                <w:szCs w:val="16"/>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75"/>
              <w:rPr>
                <w:rFonts w:eastAsia="Yu Mincho"/>
                <w:sz w:val="16"/>
                <w:szCs w:val="16"/>
                <w:lang w:eastAsia="ja-JP"/>
              </w:rPr>
            </w:pPr>
            <w:r>
              <w:rPr>
                <w:rFonts w:eastAsia="Yu Mincho"/>
                <w:sz w:val="16"/>
                <w:szCs w:val="16"/>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63"/>
              <w:rPr>
                <w:sz w:val="16"/>
                <w:szCs w:val="16"/>
              </w:rPr>
            </w:pPr>
            <w:r>
              <w:rPr>
                <w:sz w:val="16"/>
                <w:szCs w:val="16"/>
              </w:rPr>
              <w:t>PH-TypeList</w:t>
            </w:r>
            <w:r>
              <w:rPr>
                <w:sz w:val="16"/>
                <w:szCs w:val="16"/>
                <w:lang w:eastAsia="zh-CN"/>
              </w:rPr>
              <w:t>M</w:t>
            </w:r>
            <w:r>
              <w:rPr>
                <w:sz w:val="16"/>
                <w:szCs w:val="16"/>
              </w:rPr>
              <w:t>CG, as defined in TS 38.331 [8].</w:t>
            </w:r>
            <w:r>
              <w:rPr>
                <w:sz w:val="16"/>
                <w:szCs w:val="16"/>
                <w:lang w:eastAsia="zh-CN"/>
              </w:rPr>
              <w:t xml:space="preserve"> </w:t>
            </w:r>
            <w:r>
              <w:rPr>
                <w:sz w:val="16"/>
                <w:szCs w:val="16"/>
              </w:rPr>
              <w:t xml:space="preserve">For MR-DC, this IE should be included so that gNB-CU is informed of the Power Headroom type for each serving cell in </w:t>
            </w:r>
            <w:r>
              <w:rPr>
                <w:sz w:val="16"/>
                <w:szCs w:val="16"/>
                <w:lang w:eastAsia="zh-CN"/>
              </w:rPr>
              <w:t>M</w:t>
            </w:r>
            <w:r>
              <w:rPr>
                <w:rFonts w:hint="eastAsia"/>
                <w:sz w:val="16"/>
                <w:szCs w:val="16"/>
                <w:lang w:eastAsia="zh-CN"/>
              </w:rPr>
              <w:t>CG</w:t>
            </w:r>
            <w:r>
              <w:rPr>
                <w:sz w:val="16"/>
                <w:szCs w:val="16"/>
              </w:rPr>
              <w:t>.</w:t>
            </w:r>
          </w:p>
        </w:tc>
        <w:tc>
          <w:tcPr>
            <w:tcW w:w="1275" w:type="dxa"/>
            <w:tcBorders>
              <w:top w:val="single" w:color="auto" w:sz="4" w:space="0"/>
              <w:left w:val="single" w:color="auto" w:sz="4" w:space="0"/>
              <w:bottom w:val="single" w:color="auto" w:sz="4" w:space="0"/>
              <w:right w:val="single" w:color="auto" w:sz="4" w:space="0"/>
            </w:tcBorders>
            <w:vAlign w:val="top"/>
          </w:tcPr>
          <w:p>
            <w:pPr>
              <w:pStyle w:val="75"/>
              <w:rPr>
                <w:sz w:val="16"/>
                <w:szCs w:val="16"/>
                <w:lang w:eastAsia="zh-CN"/>
              </w:rPr>
            </w:pPr>
            <w:r>
              <w:rPr>
                <w:sz w:val="16"/>
                <w:szCs w:val="16"/>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75"/>
              <w:rPr>
                <w:sz w:val="16"/>
                <w:szCs w:val="16"/>
                <w:lang w:eastAsia="zh-CN"/>
              </w:rPr>
            </w:pPr>
            <w:r>
              <w:rPr>
                <w:sz w:val="16"/>
                <w:szCs w:val="16"/>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lang w:eastAsia="zh-CN"/>
              </w:rPr>
            </w:pPr>
            <w:r>
              <w:rPr>
                <w:rFonts w:ascii="Arial" w:hAnsi="Arial"/>
                <w:sz w:val="16"/>
                <w:szCs w:val="16"/>
                <w:lang w:eastAsia="zh-CN"/>
              </w:rPr>
              <w:t>MeasGapSharingConfig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lang w:eastAsia="zh-CN"/>
              </w:rPr>
            </w:pPr>
            <w:r>
              <w:rPr>
                <w:rFonts w:ascii="Arial" w:hAnsi="Arial"/>
                <w:sz w:val="16"/>
                <w:szCs w:val="16"/>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6"/>
                <w:szCs w:val="16"/>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6"/>
                <w:szCs w:val="16"/>
                <w:lang w:eastAsia="ja-JP"/>
              </w:rPr>
            </w:pPr>
            <w:r>
              <w:rPr>
                <w:rFonts w:ascii="Arial" w:hAnsi="Arial" w:eastAsia="Yu Mincho"/>
                <w:sz w:val="16"/>
                <w:szCs w:val="16"/>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rPr>
            </w:pPr>
            <w:r>
              <w:rPr>
                <w:rFonts w:ascii="Arial" w:hAnsi="Arial" w:eastAsia="Malgun Gothic"/>
                <w:sz w:val="16"/>
                <w:szCs w:val="16"/>
              </w:rPr>
              <w:t>MeasGapSharingConfig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6"/>
                <w:szCs w:val="16"/>
                <w:lang w:eastAsia="zh-CN"/>
              </w:rPr>
            </w:pPr>
            <w:r>
              <w:rPr>
                <w:rFonts w:ascii="Arial" w:hAnsi="Arial"/>
                <w:sz w:val="16"/>
                <w:szCs w:val="16"/>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6"/>
                <w:szCs w:val="16"/>
                <w:lang w:eastAsia="zh-CN"/>
              </w:rPr>
            </w:pPr>
            <w:r>
              <w:rPr>
                <w:rFonts w:ascii="Arial" w:hAnsi="Arial"/>
                <w:sz w:val="16"/>
                <w:szCs w:val="16"/>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lang w:eastAsia="zh-CN"/>
              </w:rPr>
            </w:pPr>
            <w:r>
              <w:rPr>
                <w:rFonts w:hint="eastAsia" w:ascii="Arial" w:hAnsi="Arial"/>
                <w:sz w:val="16"/>
                <w:szCs w:val="16"/>
                <w:lang w:eastAsia="zh-CN"/>
              </w:rPr>
              <w:t>S</w:t>
            </w:r>
            <w:r>
              <w:rPr>
                <w:rFonts w:ascii="Arial" w:hAnsi="Arial"/>
                <w:sz w:val="16"/>
                <w:szCs w:val="16"/>
                <w:lang w:eastAsia="zh-CN"/>
              </w:rPr>
              <w:t>L-PHY-MAC-RLC-Config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lang w:eastAsia="zh-CN"/>
              </w:rPr>
            </w:pPr>
            <w:r>
              <w:rPr>
                <w:rFonts w:ascii="Arial" w:hAnsi="Arial"/>
                <w:sz w:val="16"/>
                <w:szCs w:val="16"/>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6"/>
                <w:szCs w:val="16"/>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6"/>
                <w:szCs w:val="16"/>
                <w:lang w:eastAsia="ja-JP"/>
              </w:rPr>
            </w:pPr>
            <w:r>
              <w:rPr>
                <w:rFonts w:hint="eastAsia" w:ascii="Arial" w:hAnsi="Arial"/>
                <w:sz w:val="16"/>
                <w:szCs w:val="16"/>
                <w:lang w:eastAsia="zh-CN"/>
              </w:rPr>
              <w:t>O</w:t>
            </w:r>
            <w:r>
              <w:rPr>
                <w:rFonts w:ascii="Arial" w:hAnsi="Arial"/>
                <w:sz w:val="16"/>
                <w:szCs w:val="16"/>
                <w:lang w:eastAsia="zh-CN"/>
              </w:rPr>
              <w:t>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6"/>
                <w:szCs w:val="16"/>
              </w:rPr>
            </w:pPr>
            <w:r>
              <w:rPr>
                <w:rFonts w:ascii="Arial" w:hAnsi="Arial"/>
                <w:sz w:val="16"/>
                <w:szCs w:val="16"/>
                <w:lang w:eastAsia="zh-CN"/>
              </w:rPr>
              <w:t>SL-PHY-MAC-RLC-Config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6"/>
                <w:szCs w:val="16"/>
                <w:lang w:eastAsia="zh-CN"/>
              </w:rPr>
            </w:pPr>
            <w:r>
              <w:rPr>
                <w:rFonts w:ascii="Arial" w:hAnsi="Arial"/>
                <w:sz w:val="16"/>
                <w:szCs w:val="16"/>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6"/>
                <w:szCs w:val="16"/>
                <w:lang w:eastAsia="zh-CN"/>
              </w:rPr>
            </w:pPr>
            <w:r>
              <w:rPr>
                <w:rFonts w:hint="eastAsia" w:ascii="Arial" w:hAnsi="Arial"/>
                <w:sz w:val="16"/>
                <w:szCs w:val="16"/>
                <w:lang w:eastAsia="zh-CN"/>
              </w:rPr>
              <w:t>i</w:t>
            </w:r>
            <w:r>
              <w:rPr>
                <w:rFonts w:ascii="Arial" w:hAnsi="Arial"/>
                <w:sz w:val="16"/>
                <w:szCs w:val="16"/>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lang w:eastAsia="zh-CN"/>
              </w:rPr>
            </w:pPr>
            <w:r>
              <w:rPr>
                <w:rFonts w:hint="eastAsia" w:ascii="Arial" w:hAnsi="Arial"/>
                <w:sz w:val="16"/>
                <w:szCs w:val="16"/>
                <w:lang w:eastAsia="zh-CN"/>
              </w:rPr>
              <w:t>S</w:t>
            </w:r>
            <w:r>
              <w:rPr>
                <w:rFonts w:ascii="Arial" w:hAnsi="Arial"/>
                <w:sz w:val="16"/>
                <w:szCs w:val="16"/>
                <w:lang w:eastAsia="zh-CN"/>
              </w:rPr>
              <w:t>L-ConfigDedicatedEUTRA</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6"/>
                <w:szCs w:val="16"/>
                <w:lang w:eastAsia="zh-CN"/>
              </w:rPr>
            </w:pPr>
            <w:r>
              <w:rPr>
                <w:rFonts w:hint="eastAsia" w:ascii="Arial" w:hAnsi="Arial"/>
                <w:sz w:val="16"/>
                <w:szCs w:val="16"/>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6"/>
                <w:szCs w:val="16"/>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6"/>
                <w:szCs w:val="16"/>
                <w:lang w:eastAsia="ja-JP"/>
              </w:rPr>
            </w:pPr>
            <w:r>
              <w:rPr>
                <w:rFonts w:ascii="Arial" w:hAnsi="Arial"/>
                <w:sz w:val="16"/>
                <w:szCs w:val="16"/>
                <w:lang w:eastAsia="zh-CN"/>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6"/>
                <w:szCs w:val="16"/>
              </w:rPr>
            </w:pPr>
            <w:r>
              <w:rPr>
                <w:rFonts w:ascii="Arial" w:hAnsi="Arial"/>
                <w:sz w:val="16"/>
                <w:szCs w:val="16"/>
                <w:lang w:eastAsia="zh-CN"/>
              </w:rPr>
              <w:t>SL-ConfigDedicatedEUTRA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6"/>
                <w:szCs w:val="16"/>
                <w:lang w:eastAsia="zh-CN"/>
              </w:rPr>
            </w:pPr>
            <w:r>
              <w:rPr>
                <w:rFonts w:hint="eastAsia" w:ascii="Arial" w:hAnsi="Arial"/>
                <w:sz w:val="16"/>
                <w:szCs w:val="16"/>
                <w:lang w:eastAsia="zh-CN"/>
              </w:rPr>
              <w:t>Y</w:t>
            </w:r>
            <w:r>
              <w:rPr>
                <w:rFonts w:ascii="Arial" w:hAnsi="Arial"/>
                <w:sz w:val="16"/>
                <w:szCs w:val="16"/>
                <w:lang w:eastAsia="zh-CN"/>
              </w:rPr>
              <w:t>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6"/>
                <w:szCs w:val="16"/>
                <w:lang w:eastAsia="zh-CN"/>
              </w:rPr>
            </w:pPr>
            <w:r>
              <w:rPr>
                <w:rFonts w:hint="eastAsia" w:ascii="Arial" w:hAnsi="Arial"/>
                <w:sz w:val="16"/>
                <w:szCs w:val="16"/>
                <w:lang w:eastAsia="zh-CN"/>
              </w:rPr>
              <w:t>i</w:t>
            </w:r>
            <w:r>
              <w:rPr>
                <w:rFonts w:ascii="Arial" w:hAnsi="Arial"/>
                <w:sz w:val="16"/>
                <w:szCs w:val="16"/>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rPr>
                <w:rFonts w:ascii="Arial" w:hAnsi="Arial"/>
                <w:sz w:val="16"/>
                <w:szCs w:val="16"/>
                <w:lang w:eastAsia="zh-CN"/>
              </w:rPr>
            </w:pPr>
            <w:r>
              <w:rPr>
                <w:rFonts w:ascii="Arial" w:hAnsi="Arial"/>
                <w:sz w:val="16"/>
                <w:szCs w:val="16"/>
                <w:lang w:eastAsia="zh-CN"/>
              </w:rPr>
              <w:t>Requested P-MaxFR2</w:t>
            </w:r>
          </w:p>
        </w:tc>
        <w:tc>
          <w:tcPr>
            <w:tcW w:w="992" w:type="dxa"/>
            <w:vAlign w:val="top"/>
          </w:tcPr>
          <w:p>
            <w:pPr>
              <w:keepNext/>
              <w:keepLines/>
              <w:spacing w:after="0"/>
              <w:rPr>
                <w:rFonts w:ascii="Arial" w:hAnsi="Arial"/>
                <w:sz w:val="16"/>
                <w:szCs w:val="16"/>
                <w:lang w:eastAsia="zh-CN"/>
              </w:rPr>
            </w:pPr>
            <w:r>
              <w:rPr>
                <w:rFonts w:ascii="Arial" w:hAnsi="Arial"/>
                <w:sz w:val="16"/>
                <w:szCs w:val="16"/>
                <w:lang w:eastAsia="zh-CN"/>
              </w:rPr>
              <w:t>O</w:t>
            </w:r>
          </w:p>
        </w:tc>
        <w:tc>
          <w:tcPr>
            <w:tcW w:w="851" w:type="dxa"/>
            <w:vAlign w:val="top"/>
          </w:tcPr>
          <w:p>
            <w:pPr>
              <w:keepNext/>
              <w:keepLines/>
              <w:spacing w:after="0"/>
              <w:rPr>
                <w:rFonts w:ascii="Arial" w:hAnsi="Arial" w:cs="Arial"/>
                <w:sz w:val="16"/>
                <w:szCs w:val="16"/>
                <w:lang w:eastAsia="ja-JP"/>
              </w:rPr>
            </w:pPr>
          </w:p>
        </w:tc>
        <w:tc>
          <w:tcPr>
            <w:tcW w:w="1275" w:type="dxa"/>
            <w:vAlign w:val="top"/>
          </w:tcPr>
          <w:p>
            <w:pPr>
              <w:keepNext/>
              <w:keepLines/>
              <w:spacing w:after="0"/>
              <w:jc w:val="center"/>
              <w:rPr>
                <w:rFonts w:ascii="Arial" w:hAnsi="Arial" w:eastAsia="Yu Mincho"/>
                <w:sz w:val="16"/>
                <w:szCs w:val="16"/>
                <w:lang w:eastAsia="ja-JP"/>
              </w:rPr>
            </w:pPr>
            <w:r>
              <w:rPr>
                <w:rFonts w:ascii="Arial" w:hAnsi="Arial" w:eastAsia="Yu Mincho"/>
                <w:sz w:val="16"/>
                <w:szCs w:val="16"/>
                <w:lang w:eastAsia="ja-JP"/>
              </w:rPr>
              <w:t>OCTET STRING</w:t>
            </w:r>
          </w:p>
        </w:tc>
        <w:tc>
          <w:tcPr>
            <w:tcW w:w="2694" w:type="dxa"/>
            <w:vAlign w:val="top"/>
          </w:tcPr>
          <w:p>
            <w:pPr>
              <w:keepNext/>
              <w:keepLines/>
              <w:spacing w:after="0"/>
              <w:rPr>
                <w:rFonts w:ascii="Arial" w:hAnsi="Arial" w:eastAsia="Malgun Gothic"/>
                <w:sz w:val="16"/>
                <w:szCs w:val="16"/>
              </w:rPr>
            </w:pPr>
            <w:r>
              <w:rPr>
                <w:rFonts w:ascii="Arial" w:hAnsi="Arial" w:eastAsia="Malgun Gothic"/>
                <w:sz w:val="16"/>
                <w:szCs w:val="16"/>
              </w:rPr>
              <w:t xml:space="preserve">RequestedP-MaxFR2, as defined in TS 38.331 [8]. </w:t>
            </w:r>
          </w:p>
          <w:p>
            <w:pPr>
              <w:keepNext/>
              <w:keepLines/>
              <w:spacing w:after="0"/>
              <w:rPr>
                <w:rFonts w:ascii="Arial" w:hAnsi="Arial" w:eastAsia="Malgun Gothic"/>
                <w:sz w:val="16"/>
                <w:szCs w:val="16"/>
              </w:rPr>
            </w:pPr>
            <w:r>
              <w:rPr>
                <w:rFonts w:ascii="Arial" w:hAnsi="Arial" w:eastAsia="Malgun Gothic"/>
                <w:sz w:val="16"/>
                <w:szCs w:val="16"/>
              </w:rPr>
              <w:t>For NR-DC operation, this IE should be included.</w:t>
            </w:r>
          </w:p>
        </w:tc>
        <w:tc>
          <w:tcPr>
            <w:tcW w:w="1275" w:type="dxa"/>
            <w:vAlign w:val="top"/>
          </w:tcPr>
          <w:p>
            <w:pPr>
              <w:keepNext/>
              <w:keepLines/>
              <w:spacing w:after="0"/>
              <w:jc w:val="center"/>
              <w:rPr>
                <w:rFonts w:ascii="Arial" w:hAnsi="Arial" w:eastAsia="Malgun Gothic"/>
                <w:sz w:val="16"/>
                <w:szCs w:val="16"/>
              </w:rPr>
            </w:pPr>
            <w:r>
              <w:rPr>
                <w:rFonts w:ascii="Arial" w:hAnsi="Arial"/>
                <w:sz w:val="16"/>
                <w:szCs w:val="16"/>
                <w:lang w:eastAsia="zh-CN"/>
              </w:rPr>
              <w:t>YES</w:t>
            </w:r>
          </w:p>
        </w:tc>
        <w:tc>
          <w:tcPr>
            <w:tcW w:w="1134" w:type="dxa"/>
            <w:vAlign w:val="top"/>
          </w:tcPr>
          <w:p>
            <w:pPr>
              <w:keepNext/>
              <w:keepLines/>
              <w:spacing w:after="0"/>
              <w:jc w:val="center"/>
              <w:rPr>
                <w:rFonts w:ascii="Arial" w:hAnsi="Arial" w:eastAsia="Malgun Gothic"/>
                <w:sz w:val="16"/>
                <w:szCs w:val="16"/>
              </w:rPr>
            </w:pPr>
            <w:r>
              <w:rPr>
                <w:rFonts w:ascii="Arial" w:hAnsi="Arial"/>
                <w:sz w:val="16"/>
                <w:szCs w:val="16"/>
                <w:lang w:eastAsia="zh-CN"/>
              </w:rPr>
              <w:t>ignore</w:t>
            </w:r>
          </w:p>
        </w:tc>
      </w:tr>
    </w:tbl>
    <w:p>
      <w:pPr>
        <w:rPr>
          <w:rFonts w:hint="eastAsia"/>
          <w:lang w:val="en-US" w:eastAsia="zh-CN"/>
        </w:rPr>
      </w:pPr>
      <w:r>
        <w:rPr>
          <w:rFonts w:hint="eastAsia"/>
          <w:lang w:val="en-US" w:eastAsia="zh-CN"/>
        </w:rPr>
        <w:t>-----------------------------------------------------------TS 38.473------------------------------------------------------------------------</w:t>
      </w:r>
    </w:p>
    <w:p>
      <w:pPr>
        <w:rPr>
          <w:rFonts w:hint="eastAsia"/>
          <w:lang w:val="en-US" w:eastAsia="zh-CN"/>
        </w:rPr>
      </w:pPr>
    </w:p>
    <w:p>
      <w:pPr>
        <w:rPr>
          <w:rFonts w:hint="eastAsia"/>
          <w:lang w:val="en-US" w:eastAsia="zh-CN"/>
        </w:rPr>
      </w:pPr>
      <w:r>
        <w:rPr>
          <w:rFonts w:hint="eastAsia"/>
          <w:lang w:val="en-US" w:eastAsia="zh-CN"/>
        </w:rPr>
        <w:t>-----------------------------------------------------------TS 38.331------------------------------------------------------------------------</w:t>
      </w:r>
    </w:p>
    <w:p>
      <w:pPr>
        <w:pStyle w:val="69"/>
      </w:pPr>
      <w:r>
        <w:t xml:space="preserve">BandCombinationIndex ::= </w:t>
      </w:r>
      <w:r>
        <w:rPr>
          <w:color w:val="993366"/>
        </w:rPr>
        <w:t>INTEGER</w:t>
      </w:r>
      <w:r>
        <w:t xml:space="preserve"> (1..maxBandComb)</w:t>
      </w:r>
    </w:p>
    <w:p>
      <w:pPr>
        <w:pStyle w:val="69"/>
      </w:pPr>
    </w:p>
    <w:p>
      <w:pPr>
        <w:pStyle w:val="69"/>
      </w:pPr>
      <w:r>
        <w:t xml:space="preserve">BandCombinationInfoSN ::=           </w:t>
      </w:r>
      <w:r>
        <w:rPr>
          <w:color w:val="993366"/>
        </w:rPr>
        <w:t>SEQUENCE</w:t>
      </w:r>
      <w:r>
        <w:t xml:space="preserve"> {</w:t>
      </w:r>
    </w:p>
    <w:p>
      <w:pPr>
        <w:pStyle w:val="69"/>
      </w:pPr>
      <w:r>
        <w:t xml:space="preserve">    bandCombinationIndex                BandCombinationIndex,</w:t>
      </w:r>
    </w:p>
    <w:p>
      <w:pPr>
        <w:pStyle w:val="69"/>
      </w:pPr>
      <w:r>
        <w:t xml:space="preserve">    requestedFeatureSets                FeatureSetEntryIndex</w:t>
      </w:r>
    </w:p>
    <w:p>
      <w:pPr>
        <w:pStyle w:val="69"/>
      </w:pPr>
      <w:r>
        <w:t>}</w:t>
      </w:r>
    </w:p>
    <w:p>
      <w:pPr>
        <w:pStyle w:val="69"/>
      </w:pPr>
    </w:p>
    <w:tbl>
      <w:tblPr>
        <w:tblStyle w:val="51"/>
        <w:tblW w:w="10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 w:hRule="atLeast"/>
        </w:trPr>
        <w:tc>
          <w:tcPr>
            <w:tcW w:w="10340" w:type="dxa"/>
            <w:tcBorders>
              <w:top w:val="single" w:color="auto" w:sz="4" w:space="0"/>
              <w:left w:val="single" w:color="auto" w:sz="4" w:space="0"/>
              <w:bottom w:val="single" w:color="auto" w:sz="4" w:space="0"/>
              <w:right w:val="single" w:color="auto" w:sz="4" w:space="0"/>
            </w:tcBorders>
          </w:tcPr>
          <w:p>
            <w:pPr>
              <w:pStyle w:val="77"/>
              <w:rPr>
                <w:rFonts w:eastAsia="Calibri"/>
                <w:szCs w:val="22"/>
                <w:lang w:eastAsia="sv-SE"/>
              </w:rPr>
            </w:pPr>
            <w:r>
              <w:rPr>
                <w:i/>
                <w:szCs w:val="22"/>
                <w:lang w:eastAsia="sv-SE"/>
              </w:rPr>
              <w:t xml:space="preserve">BandCombinationInfoSN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6" w:hRule="atLeast"/>
        </w:trPr>
        <w:tc>
          <w:tcPr>
            <w:tcW w:w="10340" w:type="dxa"/>
            <w:tcBorders>
              <w:top w:val="single" w:color="auto" w:sz="4" w:space="0"/>
              <w:left w:val="single" w:color="auto" w:sz="4" w:space="0"/>
              <w:bottom w:val="single" w:color="auto" w:sz="4" w:space="0"/>
              <w:right w:val="single" w:color="auto" w:sz="4" w:space="0"/>
            </w:tcBorders>
          </w:tcPr>
          <w:p>
            <w:pPr>
              <w:pStyle w:val="63"/>
              <w:rPr>
                <w:rFonts w:eastAsia="Calibri"/>
                <w:szCs w:val="22"/>
                <w:lang w:eastAsia="sv-SE"/>
              </w:rPr>
            </w:pPr>
            <w:r>
              <w:rPr>
                <w:b/>
                <w:i/>
                <w:szCs w:val="22"/>
                <w:lang w:eastAsia="sv-SE"/>
              </w:rPr>
              <w:t>bandCombinationIndex</w:t>
            </w:r>
          </w:p>
          <w:p>
            <w:pPr>
              <w:pStyle w:val="63"/>
              <w:rPr>
                <w:rFonts w:eastAsia="Calibri"/>
                <w:szCs w:val="22"/>
                <w:lang w:eastAsia="sv-SE"/>
              </w:rPr>
            </w:pPr>
            <w:r>
              <w:rPr>
                <w:szCs w:val="22"/>
                <w:lang w:eastAsia="sv-SE"/>
              </w:rPr>
              <w:t xml:space="preserve">In case of NR-DC, this field indicates the position of a band combination in the </w:t>
            </w:r>
            <w:r>
              <w:rPr>
                <w:i/>
                <w:lang w:eastAsia="sv-SE"/>
              </w:rPr>
              <w:t>supportedBandCombinationList</w:t>
            </w:r>
            <w:r>
              <w:rPr>
                <w:iCs/>
                <w:lang w:eastAsia="sv-SE"/>
              </w:rPr>
              <w:t xml:space="preserve">. In case of NE-DC, this field indicates the position of a band combination in the </w:t>
            </w:r>
            <w:r>
              <w:rPr>
                <w:i/>
                <w:lang w:eastAsia="sv-SE"/>
              </w:rPr>
              <w:t>supportedBandCombinationList</w:t>
            </w:r>
            <w:r>
              <w:rPr>
                <w:iCs/>
                <w:lang w:eastAsia="sv-SE"/>
              </w:rPr>
              <w:t xml:space="preserve"> and/or </w:t>
            </w:r>
            <w:r>
              <w:rPr>
                <w:i/>
                <w:lang w:eastAsia="sv-SE"/>
              </w:rPr>
              <w:t>supportedBandCombinationListNEDC-Only</w:t>
            </w:r>
            <w:r>
              <w:rPr>
                <w:iCs/>
                <w:lang w:eastAsia="sv-SE"/>
              </w:rPr>
              <w:t xml:space="preserve">. </w:t>
            </w:r>
            <w:r>
              <w:rPr>
                <w:iCs/>
              </w:rPr>
              <w:t>I</w:t>
            </w:r>
            <w:r>
              <w:rPr>
                <w:szCs w:val="22"/>
              </w:rPr>
              <w:t xml:space="preserve">n case of (NG)EN-DC, this field indicates the position of a band combination in the </w:t>
            </w:r>
            <w:r>
              <w:rPr>
                <w:i/>
              </w:rPr>
              <w:t xml:space="preserve">supportedBandCombinationList </w:t>
            </w:r>
            <w:r>
              <w:rPr>
                <w:iCs/>
              </w:rPr>
              <w:t xml:space="preserve">and/or </w:t>
            </w:r>
            <w:r>
              <w:rPr>
                <w:i/>
              </w:rPr>
              <w:t>supportedBandCombinationList-UplinkTxSwitch</w:t>
            </w:r>
            <w:r>
              <w:rPr>
                <w:iCs/>
              </w:rPr>
              <w:t xml:space="preserve">. </w:t>
            </w:r>
            <w:r>
              <w:rPr>
                <w:iCs/>
                <w:lang w:eastAsia="sv-SE"/>
              </w:rPr>
              <w:t xml:space="preserve">Band combination entries in </w:t>
            </w:r>
            <w:r>
              <w:rPr>
                <w:i/>
                <w:lang w:eastAsia="sv-SE"/>
              </w:rPr>
              <w:t xml:space="preserve">supportedBandCombinationList </w:t>
            </w:r>
            <w:r>
              <w:rPr>
                <w:iCs/>
                <w:lang w:eastAsia="sv-SE"/>
              </w:rPr>
              <w:t xml:space="preserve">are referred by an index which corresponds to the position of a band combination in the </w:t>
            </w:r>
            <w:r>
              <w:rPr>
                <w:i/>
                <w:lang w:eastAsia="sv-SE"/>
              </w:rPr>
              <w:t>supportedBandCombinationList</w:t>
            </w:r>
            <w:r>
              <w:rPr>
                <w:iCs/>
                <w:lang w:eastAsia="sv-SE"/>
              </w:rPr>
              <w:t xml:space="preserve">. Band combination entries in </w:t>
            </w:r>
            <w:r>
              <w:rPr>
                <w:i/>
                <w:lang w:eastAsia="sv-SE"/>
              </w:rPr>
              <w:t>supportedBandCombinationListNEDC-Only</w:t>
            </w:r>
            <w:r>
              <w:rPr>
                <w:iCs/>
                <w:lang w:eastAsia="sv-SE"/>
              </w:rPr>
              <w:t xml:space="preserve"> are referred by an index which corresponds to the position of a band combination in the </w:t>
            </w:r>
            <w:r>
              <w:rPr>
                <w:i/>
                <w:lang w:eastAsia="sv-SE"/>
              </w:rPr>
              <w:t>supportedBandCombinationListNEDC-Only</w:t>
            </w:r>
            <w:r>
              <w:rPr>
                <w:iCs/>
                <w:lang w:eastAsia="sv-SE"/>
              </w:rPr>
              <w:t xml:space="preserve"> increased by the number of entries in </w:t>
            </w:r>
            <w:r>
              <w:rPr>
                <w:i/>
                <w:lang w:eastAsia="sv-SE"/>
              </w:rPr>
              <w:t>supportedBandCombinationList</w:t>
            </w:r>
            <w:r>
              <w:rPr>
                <w:iCs/>
                <w:lang w:eastAsia="sv-SE"/>
              </w:rPr>
              <w:t>.</w:t>
            </w:r>
            <w:r>
              <w:rPr>
                <w:iCs/>
              </w:rPr>
              <w:t xml:space="preserve"> Band combination entries in </w:t>
            </w:r>
            <w:r>
              <w:rPr>
                <w:i/>
              </w:rPr>
              <w:t xml:space="preserve">supportedBandCombinationList-UplinkTxSwitch </w:t>
            </w:r>
            <w:r>
              <w:rPr>
                <w:iCs/>
              </w:rPr>
              <w:t xml:space="preserve">are referred by an index which corresponds to the position of a band combination in the </w:t>
            </w:r>
            <w:r>
              <w:rPr>
                <w:i/>
              </w:rPr>
              <w:t xml:space="preserve">supportedBandCombinationList-UplinkTxSwitch </w:t>
            </w:r>
            <w:r>
              <w:rPr>
                <w:iCs/>
              </w:rPr>
              <w:t xml:space="preserve">increased by the number of entries in </w:t>
            </w:r>
            <w:r>
              <w:rPr>
                <w:i/>
              </w:rPr>
              <w:t>supportedBandCombinationList</w:t>
            </w:r>
            <w:r>
              <w:rPr>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10340" w:type="dxa"/>
            <w:tcBorders>
              <w:top w:val="single" w:color="auto" w:sz="4" w:space="0"/>
              <w:left w:val="single" w:color="auto" w:sz="4" w:space="0"/>
              <w:bottom w:val="single" w:color="auto" w:sz="4" w:space="0"/>
              <w:right w:val="single" w:color="auto" w:sz="4" w:space="0"/>
            </w:tcBorders>
          </w:tcPr>
          <w:p>
            <w:pPr>
              <w:pStyle w:val="63"/>
              <w:rPr>
                <w:rFonts w:eastAsia="Calibri"/>
                <w:szCs w:val="22"/>
                <w:lang w:eastAsia="sv-SE"/>
              </w:rPr>
            </w:pPr>
            <w:r>
              <w:rPr>
                <w:b/>
                <w:i/>
                <w:szCs w:val="22"/>
                <w:lang w:eastAsia="sv-SE"/>
              </w:rPr>
              <w:t>requestedFeatureSets</w:t>
            </w:r>
          </w:p>
          <w:p>
            <w:pPr>
              <w:pStyle w:val="63"/>
              <w:rPr>
                <w:rFonts w:eastAsia="Calibri"/>
                <w:szCs w:val="22"/>
                <w:lang w:eastAsia="sv-SE"/>
              </w:rPr>
            </w:pPr>
            <w:r>
              <w:rPr>
                <w:szCs w:val="22"/>
                <w:lang w:eastAsia="sv-SE"/>
              </w:rPr>
              <w:t xml:space="preserve">The position in the </w:t>
            </w:r>
            <w:r>
              <w:rPr>
                <w:i/>
                <w:lang w:eastAsia="sv-SE"/>
              </w:rPr>
              <w:t>FeatureSetCombination</w:t>
            </w:r>
            <w:r>
              <w:rPr>
                <w:szCs w:val="22"/>
                <w:lang w:eastAsia="sv-SE"/>
              </w:rPr>
              <w:t xml:space="preserve"> which identifies one </w:t>
            </w:r>
            <w:r>
              <w:rPr>
                <w:i/>
                <w:lang w:eastAsia="sv-SE"/>
              </w:rPr>
              <w:t>FeatureSetUplink</w:t>
            </w:r>
            <w:r>
              <w:rPr>
                <w:szCs w:val="22"/>
                <w:lang w:eastAsia="sv-SE"/>
              </w:rPr>
              <w:t>/</w:t>
            </w:r>
            <w:r>
              <w:rPr>
                <w:i/>
                <w:lang w:eastAsia="sv-SE"/>
              </w:rPr>
              <w:t>Downlink</w:t>
            </w:r>
            <w:r>
              <w:rPr>
                <w:szCs w:val="22"/>
                <w:lang w:eastAsia="sv-SE"/>
              </w:rPr>
              <w:t xml:space="preserve"> for each band entry in the associated band combination</w:t>
            </w:r>
          </w:p>
        </w:tc>
      </w:tr>
    </w:tbl>
    <w:p>
      <w:pPr>
        <w:pStyle w:val="69"/>
        <w:rPr>
          <w:rFonts w:hint="default"/>
          <w:lang w:val="en-US" w:eastAsia="zh-CN"/>
        </w:rPr>
      </w:pPr>
    </w:p>
    <w:p>
      <w:pPr>
        <w:rPr>
          <w:rFonts w:hint="default"/>
          <w:lang w:val="en-US" w:eastAsia="zh-CN"/>
        </w:rPr>
      </w:pPr>
      <w:r>
        <w:rPr>
          <w:rFonts w:hint="eastAsia"/>
          <w:lang w:val="en-US" w:eastAsia="zh-CN"/>
        </w:rPr>
        <w:t>-----------------------------------------------------------TS 38.331------------------------------------------------------------------------</w:t>
      </w:r>
    </w:p>
    <w:p>
      <w:pPr>
        <w:rPr>
          <w:rFonts w:hint="default"/>
          <w:b w:val="0"/>
          <w:bCs w:val="0"/>
          <w:highlight w:val="none"/>
          <w:u w:val="none"/>
          <w:lang w:val="en-US" w:eastAsia="zh-CN"/>
        </w:rPr>
      </w:pPr>
      <w:r>
        <w:rPr>
          <w:rFonts w:hint="eastAsia"/>
          <w:b w:val="0"/>
          <w:bCs w:val="0"/>
          <w:highlight w:val="none"/>
          <w:u w:val="none"/>
          <w:lang w:val="en-US" w:eastAsia="zh-CN"/>
        </w:rPr>
        <w:t>As the IE has been used in DC scenario, in order to solve the problem mentioned above, the scope of this IE can be extended to CA scenario.</w:t>
      </w:r>
    </w:p>
    <w:p>
      <w:pPr>
        <w:rPr>
          <w:rFonts w:hint="eastAsia"/>
          <w:b/>
          <w:bCs/>
          <w:highlight w:val="none"/>
          <w:u w:val="none"/>
          <w:lang w:val="en-US" w:eastAsia="zh-CN"/>
        </w:rPr>
      </w:pPr>
      <w:r>
        <w:rPr>
          <w:rFonts w:hint="eastAsia"/>
          <w:b/>
          <w:bCs/>
          <w:highlight w:val="none"/>
          <w:u w:val="none"/>
          <w:lang w:val="en-US" w:eastAsia="zh-CN"/>
        </w:rPr>
        <w:t xml:space="preserve">Proposal : It is proposed to reuse the </w:t>
      </w:r>
      <w:r>
        <w:rPr>
          <w:rFonts w:hint="eastAsia"/>
          <w:b/>
          <w:bCs/>
          <w:i/>
          <w:iCs/>
          <w:highlight w:val="none"/>
          <w:u w:val="none"/>
          <w:lang w:val="en-US" w:eastAsia="zh-CN"/>
        </w:rPr>
        <w:t>Selected BandCombinationIndex</w:t>
      </w:r>
      <w:r>
        <w:rPr>
          <w:rFonts w:hint="eastAsia"/>
          <w:b/>
          <w:bCs/>
          <w:highlight w:val="none"/>
          <w:u w:val="none"/>
          <w:lang w:val="en-US" w:eastAsia="zh-CN"/>
        </w:rPr>
        <w:t xml:space="preserve"> IE in </w:t>
      </w:r>
      <w:r>
        <w:rPr>
          <w:rFonts w:hint="eastAsia"/>
          <w:b/>
          <w:bCs/>
          <w:i/>
          <w:iCs/>
          <w:highlight w:val="none"/>
          <w:u w:val="none"/>
          <w:lang w:val="en-US" w:eastAsia="zh-CN"/>
        </w:rPr>
        <w:t>DU to CU RRC Information</w:t>
      </w:r>
      <w:r>
        <w:rPr>
          <w:rFonts w:hint="eastAsia"/>
          <w:b/>
          <w:bCs/>
          <w:highlight w:val="none"/>
          <w:u w:val="none"/>
          <w:lang w:val="en-US" w:eastAsia="zh-CN"/>
        </w:rPr>
        <w:t xml:space="preserve"> to solve the overlapping band handling over F1.</w:t>
      </w:r>
      <w:bookmarkEnd w:id="3"/>
    </w:p>
    <w:bookmarkEnd w:id="4"/>
    <w:bookmarkEnd w:id="5"/>
    <w:bookmarkEnd w:id="6"/>
    <w:p>
      <w:pPr>
        <w:pStyle w:val="2"/>
        <w:rPr>
          <w:lang w:val="en-US"/>
        </w:rPr>
      </w:pPr>
      <w:r>
        <w:rPr>
          <w:rFonts w:hint="eastAsia" w:eastAsia="宋体"/>
          <w:lang w:val="en-US" w:eastAsia="zh-CN"/>
        </w:rPr>
        <w:t>Conclusion</w:t>
      </w:r>
    </w:p>
    <w:p>
      <w:pPr>
        <w:rPr>
          <w:rFonts w:hint="eastAsia"/>
          <w:b/>
          <w:bCs/>
          <w:highlight w:val="none"/>
          <w:u w:val="none"/>
          <w:lang w:val="en-US" w:eastAsia="zh-CN"/>
        </w:rPr>
      </w:pPr>
      <w:r>
        <w:rPr>
          <w:rFonts w:hint="eastAsia"/>
          <w:b/>
          <w:bCs/>
          <w:u w:val="none"/>
          <w:lang w:val="en-US" w:eastAsia="zh-CN"/>
        </w:rPr>
        <w:t>Proposal:</w:t>
      </w:r>
      <w:r>
        <w:rPr>
          <w:rFonts w:hint="eastAsia"/>
          <w:b/>
          <w:bCs/>
          <w:highlight w:val="none"/>
          <w:u w:val="none"/>
          <w:lang w:val="en-US" w:eastAsia="zh-CN"/>
        </w:rPr>
        <w:t xml:space="preserve"> It is proposed to reuse the </w:t>
      </w:r>
      <w:r>
        <w:rPr>
          <w:rFonts w:hint="eastAsia"/>
          <w:b/>
          <w:bCs/>
          <w:i/>
          <w:iCs/>
          <w:highlight w:val="none"/>
          <w:u w:val="none"/>
          <w:lang w:val="en-US" w:eastAsia="zh-CN"/>
        </w:rPr>
        <w:t>S</w:t>
      </w:r>
      <w:bookmarkStart w:id="12" w:name="_GoBack"/>
      <w:bookmarkEnd w:id="12"/>
      <w:r>
        <w:rPr>
          <w:rFonts w:hint="eastAsia"/>
          <w:b/>
          <w:bCs/>
          <w:i/>
          <w:iCs/>
          <w:highlight w:val="none"/>
          <w:u w:val="none"/>
          <w:lang w:val="en-US" w:eastAsia="zh-CN"/>
        </w:rPr>
        <w:t>elected BandCombinationIndex</w:t>
      </w:r>
      <w:r>
        <w:rPr>
          <w:rFonts w:hint="eastAsia"/>
          <w:b/>
          <w:bCs/>
          <w:highlight w:val="none"/>
          <w:u w:val="none"/>
          <w:lang w:val="en-US" w:eastAsia="zh-CN"/>
        </w:rPr>
        <w:t xml:space="preserve"> IE to solve the overlapping band handling over F1.</w:t>
      </w:r>
    </w:p>
    <w:p>
      <w:pPr>
        <w:rPr>
          <w:rFonts w:hint="default"/>
          <w:b w:val="0"/>
          <w:bCs w:val="0"/>
          <w:sz w:val="21"/>
          <w:szCs w:val="22"/>
          <w:highlight w:val="none"/>
          <w:u w:val="none"/>
          <w:lang w:val="en-US" w:eastAsia="zh-CN"/>
        </w:rPr>
      </w:pPr>
      <w:r>
        <w:rPr>
          <w:rFonts w:hint="eastAsia"/>
          <w:b w:val="0"/>
          <w:bCs w:val="0"/>
          <w:sz w:val="21"/>
          <w:szCs w:val="22"/>
          <w:highlight w:val="none"/>
          <w:u w:val="none"/>
          <w:lang w:val="en-US" w:eastAsia="zh-CN"/>
        </w:rPr>
        <w:t>The corresponding CR</w:t>
      </w:r>
      <w:r>
        <w:rPr>
          <w:rFonts w:hint="eastAsia"/>
          <w:b w:val="0"/>
          <w:bCs w:val="0"/>
          <w:sz w:val="21"/>
          <w:szCs w:val="22"/>
          <w:highlight w:val="none"/>
          <w:u w:val="none"/>
          <w:lang w:val="en-US" w:eastAsia="zh-CN"/>
        </w:rPr>
        <w:t>s</w:t>
      </w:r>
      <w:r>
        <w:rPr>
          <w:rFonts w:hint="eastAsia"/>
          <w:b w:val="0"/>
          <w:bCs w:val="0"/>
          <w:sz w:val="21"/>
          <w:szCs w:val="22"/>
          <w:highlight w:val="none"/>
          <w:u w:val="none"/>
          <w:lang w:val="en-US" w:eastAsia="zh-CN"/>
        </w:rPr>
        <w:t xml:space="preserve"> for R15 and R16</w:t>
      </w:r>
      <w:r>
        <w:rPr>
          <w:rFonts w:hint="eastAsia"/>
          <w:b w:val="0"/>
          <w:bCs w:val="0"/>
          <w:sz w:val="21"/>
          <w:szCs w:val="22"/>
          <w:highlight w:val="none"/>
          <w:u w:val="none"/>
          <w:lang w:val="en-US" w:eastAsia="zh-CN"/>
        </w:rPr>
        <w:t xml:space="preserve"> are provided</w:t>
      </w:r>
      <w:r>
        <w:rPr>
          <w:rFonts w:hint="eastAsia"/>
          <w:b w:val="0"/>
          <w:bCs w:val="0"/>
          <w:sz w:val="21"/>
          <w:szCs w:val="22"/>
          <w:highlight w:val="none"/>
          <w:u w:val="none"/>
          <w:lang w:val="en-US" w:eastAsia="zh-CN"/>
        </w:rPr>
        <w:t xml:space="preserve"> in [3]</w:t>
      </w:r>
      <w:r>
        <w:rPr>
          <w:rFonts w:hint="eastAsia"/>
          <w:b w:val="0"/>
          <w:bCs w:val="0"/>
          <w:sz w:val="21"/>
          <w:szCs w:val="22"/>
          <w:highlight w:val="none"/>
          <w:u w:val="none"/>
          <w:lang w:val="en-US" w:eastAsia="zh-CN"/>
        </w:rPr>
        <w:t xml:space="preserve"> and </w:t>
      </w:r>
      <w:r>
        <w:rPr>
          <w:rFonts w:hint="eastAsia"/>
          <w:b w:val="0"/>
          <w:bCs w:val="0"/>
          <w:sz w:val="21"/>
          <w:szCs w:val="22"/>
          <w:highlight w:val="none"/>
          <w:u w:val="none"/>
          <w:lang w:val="en-US" w:eastAsia="zh-CN"/>
        </w:rPr>
        <w:t>[4]</w:t>
      </w:r>
      <w:r>
        <w:rPr>
          <w:rFonts w:hint="eastAsia"/>
          <w:b w:val="0"/>
          <w:bCs w:val="0"/>
          <w:sz w:val="21"/>
          <w:szCs w:val="22"/>
          <w:highlight w:val="none"/>
          <w:u w:val="none"/>
          <w:lang w:val="en-US" w:eastAsia="zh-CN"/>
        </w:rPr>
        <w:t xml:space="preserve"> respectively.</w:t>
      </w:r>
    </w:p>
    <w:p>
      <w:pPr>
        <w:pStyle w:val="2"/>
        <w:bidi w:val="0"/>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11" w:name="OLE_LINK1"/>
      <w:r>
        <w:rPr>
          <w:rFonts w:hint="eastAsia"/>
          <w:sz w:val="22"/>
          <w:lang w:val="en-US" w:eastAsia="zh-CN"/>
        </w:rPr>
        <w:t xml:space="preserve"> </w:t>
      </w:r>
      <w:r>
        <w:rPr>
          <w:sz w:val="22"/>
          <w:lang w:val="en-GB"/>
        </w:rPr>
        <w:t>SoD for Overlapping bands handling</w:t>
      </w:r>
      <w:r>
        <w:rPr>
          <w:rFonts w:hint="eastAsia"/>
          <w:sz w:val="22"/>
          <w:lang w:val="en-US" w:eastAsia="zh-CN"/>
        </w:rPr>
        <w:t xml:space="preserve">  Ericsson</w:t>
      </w:r>
    </w:p>
    <w:p>
      <w:pPr>
        <w:numPr>
          <w:ilvl w:val="0"/>
          <w:numId w:val="12"/>
        </w:numPr>
        <w:rPr>
          <w:rFonts w:hint="eastAsia"/>
          <w:lang w:val="en-US" w:eastAsia="zh-CN"/>
        </w:rPr>
      </w:pPr>
      <w:r>
        <w:rPr>
          <w:rFonts w:hint="eastAsia"/>
          <w:lang w:val="en-US" w:eastAsia="zh-CN"/>
        </w:rPr>
        <w:t xml:space="preserve"> </w:t>
      </w:r>
      <w:r>
        <w:rPr>
          <w:rFonts w:hint="eastAsia"/>
          <w:sz w:val="22"/>
          <w:szCs w:val="22"/>
          <w:lang w:val="en-US" w:eastAsia="zh-CN"/>
        </w:rPr>
        <w:t xml:space="preserve">R3-203381 </w:t>
      </w:r>
      <w:r>
        <w:rPr>
          <w:sz w:val="22"/>
        </w:rPr>
        <w:t>Overlapping band handling</w:t>
      </w:r>
      <w:r>
        <w:rPr>
          <w:sz w:val="22"/>
          <w:szCs w:val="22"/>
        </w:rPr>
        <w:t xml:space="preserve"> CR 38.473</w:t>
      </w:r>
      <w:r>
        <w:rPr>
          <w:rFonts w:hint="eastAsia"/>
          <w:sz w:val="22"/>
          <w:szCs w:val="22"/>
          <w:lang w:val="en-US" w:eastAsia="zh-CN"/>
        </w:rPr>
        <w:t xml:space="preserve">  Ericsson</w:t>
      </w:r>
    </w:p>
    <w:p>
      <w:pPr>
        <w:numPr>
          <w:ilvl w:val="0"/>
          <w:numId w:val="12"/>
        </w:numPr>
        <w:rPr>
          <w:rFonts w:hint="eastAsia"/>
          <w:lang w:val="en-US" w:eastAsia="zh-CN"/>
        </w:rPr>
      </w:pPr>
      <w:r>
        <w:rPr>
          <w:rFonts w:hint="eastAsia"/>
          <w:sz w:val="22"/>
          <w:szCs w:val="22"/>
          <w:lang w:val="en-US" w:eastAsia="zh-CN"/>
        </w:rPr>
        <w:t xml:space="preserve"> R15 CR for TS38.473 on Overlapping Band Handling  ZTE</w:t>
      </w:r>
    </w:p>
    <w:p>
      <w:pPr>
        <w:numPr>
          <w:ilvl w:val="0"/>
          <w:numId w:val="12"/>
        </w:numPr>
        <w:rPr>
          <w:rFonts w:hint="eastAsia"/>
          <w:lang w:val="en-US" w:eastAsia="zh-CN"/>
        </w:rPr>
      </w:pPr>
      <w:r>
        <w:rPr>
          <w:rFonts w:hint="eastAsia"/>
          <w:sz w:val="22"/>
          <w:szCs w:val="22"/>
          <w:lang w:val="en-US" w:eastAsia="zh-CN"/>
        </w:rPr>
        <w:t xml:space="preserve"> R16 CR for TS38.473 on Overlapping Band Handling  ZTE</w:t>
      </w:r>
    </w:p>
    <w:bookmarkEnd w:id="11"/>
    <w:p>
      <w:pPr>
        <w:numPr>
          <w:ilvl w:val="0"/>
          <w:numId w:val="0"/>
        </w:numPr>
        <w:rPr>
          <w:rFonts w:hint="default"/>
          <w:lang w:val="en-US" w:eastAsia="zh-CN"/>
        </w:rPr>
      </w:pPr>
    </w:p>
    <w:p>
      <w:p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594F58"/>
    <w:rsid w:val="07734381"/>
    <w:rsid w:val="077461F2"/>
    <w:rsid w:val="08094020"/>
    <w:rsid w:val="080B5EA9"/>
    <w:rsid w:val="083B53D3"/>
    <w:rsid w:val="084B3279"/>
    <w:rsid w:val="092B1B69"/>
    <w:rsid w:val="09372C01"/>
    <w:rsid w:val="095E1308"/>
    <w:rsid w:val="098163FE"/>
    <w:rsid w:val="09971C46"/>
    <w:rsid w:val="099D214A"/>
    <w:rsid w:val="099D5289"/>
    <w:rsid w:val="09BD6FFC"/>
    <w:rsid w:val="09BF47D7"/>
    <w:rsid w:val="09CB4714"/>
    <w:rsid w:val="0A09524D"/>
    <w:rsid w:val="0A6213B0"/>
    <w:rsid w:val="0A6F39E4"/>
    <w:rsid w:val="0A700F10"/>
    <w:rsid w:val="0A70172C"/>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FE6E29"/>
    <w:rsid w:val="141B1F86"/>
    <w:rsid w:val="14336A4B"/>
    <w:rsid w:val="144E1357"/>
    <w:rsid w:val="14951399"/>
    <w:rsid w:val="149F04AF"/>
    <w:rsid w:val="14A5762D"/>
    <w:rsid w:val="14D4695D"/>
    <w:rsid w:val="152057CA"/>
    <w:rsid w:val="152131F1"/>
    <w:rsid w:val="15653C9E"/>
    <w:rsid w:val="15736143"/>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CC629AD"/>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35FA1"/>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5B23DA"/>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737875"/>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CD731EB"/>
    <w:rsid w:val="6D18660F"/>
    <w:rsid w:val="6D544FAE"/>
    <w:rsid w:val="6DBF0252"/>
    <w:rsid w:val="6DE83B0B"/>
    <w:rsid w:val="6E1141C0"/>
    <w:rsid w:val="6E3C6A68"/>
    <w:rsid w:val="6E454E5E"/>
    <w:rsid w:val="6E527BB7"/>
    <w:rsid w:val="6E611BE4"/>
    <w:rsid w:val="6E8C5694"/>
    <w:rsid w:val="6EC15C4B"/>
    <w:rsid w:val="6ED266DD"/>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B91C9B"/>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5</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2020-08-07T02:22:44Z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